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202A" w:rsidRDefault="00D5202A">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pPr w:leftFromText="141" w:rightFromText="141" w:vertAnchor="page" w:horzAnchor="margin" w:tblpXSpec="center" w:tblpY="414"/>
        <w:tblW w:w="9526"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85"/>
        <w:gridCol w:w="2467"/>
        <w:gridCol w:w="2268"/>
        <w:gridCol w:w="2551"/>
        <w:gridCol w:w="2070"/>
        <w:gridCol w:w="85"/>
      </w:tblGrid>
      <w:tr w:rsidR="00D5202A">
        <w:tc>
          <w:tcPr>
            <w:tcW w:w="85" w:type="dxa"/>
            <w:shd w:val="clear" w:color="auto" w:fill="2A66AF"/>
          </w:tcPr>
          <w:p w:rsidR="00D5202A" w:rsidRDefault="00D5202A">
            <w:pPr>
              <w:jc w:val="center"/>
              <w:rPr>
                <w:sz w:val="8"/>
                <w:szCs w:val="8"/>
              </w:rPr>
            </w:pPr>
          </w:p>
        </w:tc>
        <w:tc>
          <w:tcPr>
            <w:tcW w:w="2467" w:type="dxa"/>
            <w:shd w:val="clear" w:color="auto" w:fill="2A66AF"/>
            <w:vAlign w:val="center"/>
          </w:tcPr>
          <w:p w:rsidR="00D5202A" w:rsidRDefault="00D5202A">
            <w:pPr>
              <w:jc w:val="center"/>
              <w:rPr>
                <w:sz w:val="8"/>
                <w:szCs w:val="8"/>
              </w:rPr>
            </w:pPr>
          </w:p>
        </w:tc>
        <w:tc>
          <w:tcPr>
            <w:tcW w:w="2268" w:type="dxa"/>
            <w:shd w:val="clear" w:color="auto" w:fill="2A66AF"/>
            <w:vAlign w:val="center"/>
          </w:tcPr>
          <w:p w:rsidR="00D5202A" w:rsidRDefault="00D5202A">
            <w:pPr>
              <w:jc w:val="center"/>
              <w:rPr>
                <w:sz w:val="8"/>
                <w:szCs w:val="8"/>
              </w:rPr>
            </w:pPr>
          </w:p>
        </w:tc>
        <w:tc>
          <w:tcPr>
            <w:tcW w:w="2551" w:type="dxa"/>
            <w:shd w:val="clear" w:color="auto" w:fill="2A66AF"/>
            <w:vAlign w:val="center"/>
          </w:tcPr>
          <w:p w:rsidR="00D5202A" w:rsidRDefault="00D5202A">
            <w:pPr>
              <w:jc w:val="center"/>
              <w:rPr>
                <w:sz w:val="8"/>
                <w:szCs w:val="8"/>
              </w:rPr>
            </w:pPr>
          </w:p>
        </w:tc>
        <w:tc>
          <w:tcPr>
            <w:tcW w:w="2070" w:type="dxa"/>
            <w:shd w:val="clear" w:color="auto" w:fill="2A66AF"/>
            <w:vAlign w:val="center"/>
          </w:tcPr>
          <w:p w:rsidR="00D5202A" w:rsidRDefault="00D5202A">
            <w:pPr>
              <w:jc w:val="center"/>
              <w:rPr>
                <w:sz w:val="8"/>
                <w:szCs w:val="8"/>
              </w:rPr>
            </w:pPr>
          </w:p>
        </w:tc>
        <w:tc>
          <w:tcPr>
            <w:tcW w:w="85" w:type="dxa"/>
            <w:shd w:val="clear" w:color="auto" w:fill="2A66AF"/>
          </w:tcPr>
          <w:p w:rsidR="00D5202A" w:rsidRDefault="00D5202A">
            <w:pPr>
              <w:jc w:val="center"/>
              <w:rPr>
                <w:sz w:val="8"/>
                <w:szCs w:val="8"/>
              </w:rPr>
            </w:pPr>
          </w:p>
        </w:tc>
      </w:tr>
      <w:tr w:rsidR="00D5202A">
        <w:tc>
          <w:tcPr>
            <w:tcW w:w="85" w:type="dxa"/>
            <w:shd w:val="clear" w:color="auto" w:fill="2A66AF"/>
          </w:tcPr>
          <w:p w:rsidR="00D5202A" w:rsidRDefault="00D5202A">
            <w:pPr>
              <w:jc w:val="center"/>
              <w:rPr>
                <w:sz w:val="8"/>
                <w:szCs w:val="8"/>
              </w:rPr>
            </w:pPr>
          </w:p>
        </w:tc>
        <w:tc>
          <w:tcPr>
            <w:tcW w:w="2467" w:type="dxa"/>
            <w:tcBorders>
              <w:right w:val="single" w:sz="8" w:space="0" w:color="FFFFFF"/>
            </w:tcBorders>
            <w:shd w:val="clear" w:color="auto" w:fill="2A66AF"/>
            <w:vAlign w:val="center"/>
          </w:tcPr>
          <w:p w:rsidR="00D5202A" w:rsidRDefault="002E34D9">
            <w:pPr>
              <w:ind w:hanging="2"/>
              <w:jc w:val="right"/>
            </w:pPr>
            <w:r>
              <w:rPr>
                <w:noProof/>
              </w:rPr>
              <w:drawing>
                <wp:inline distT="0" distB="0" distL="0" distR="0">
                  <wp:extent cx="1478915" cy="464185"/>
                  <wp:effectExtent l="0" t="0" r="0" b="0"/>
                  <wp:docPr id="1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478915" cy="464185"/>
                          </a:xfrm>
                          <a:prstGeom prst="rect">
                            <a:avLst/>
                          </a:prstGeom>
                          <a:ln/>
                        </pic:spPr>
                      </pic:pic>
                    </a:graphicData>
                  </a:graphic>
                </wp:inline>
              </w:drawing>
            </w:r>
          </w:p>
        </w:tc>
        <w:tc>
          <w:tcPr>
            <w:tcW w:w="2268" w:type="dxa"/>
            <w:tcBorders>
              <w:left w:val="single" w:sz="8" w:space="0" w:color="FFFFFF"/>
              <w:right w:val="single" w:sz="8" w:space="0" w:color="FFFFFF"/>
            </w:tcBorders>
            <w:shd w:val="clear" w:color="auto" w:fill="2A66AF"/>
            <w:vAlign w:val="center"/>
          </w:tcPr>
          <w:p w:rsidR="00D5202A" w:rsidRDefault="002E34D9">
            <w:pPr>
              <w:ind w:hanging="2"/>
              <w:jc w:val="center"/>
            </w:pPr>
            <w:r>
              <w:rPr>
                <w:noProof/>
              </w:rPr>
              <w:drawing>
                <wp:inline distT="0" distB="0" distL="0" distR="0">
                  <wp:extent cx="1297049" cy="473179"/>
                  <wp:effectExtent l="0" t="0" r="0" b="0"/>
                  <wp:docPr id="2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1297049" cy="473179"/>
                          </a:xfrm>
                          <a:prstGeom prst="rect">
                            <a:avLst/>
                          </a:prstGeom>
                          <a:ln/>
                        </pic:spPr>
                      </pic:pic>
                    </a:graphicData>
                  </a:graphic>
                </wp:inline>
              </w:drawing>
            </w:r>
          </w:p>
        </w:tc>
        <w:tc>
          <w:tcPr>
            <w:tcW w:w="2551" w:type="dxa"/>
            <w:tcBorders>
              <w:left w:val="single" w:sz="8" w:space="0" w:color="FFFFFF"/>
              <w:right w:val="single" w:sz="8" w:space="0" w:color="FFFFFF"/>
            </w:tcBorders>
            <w:shd w:val="clear" w:color="auto" w:fill="2A66AF"/>
            <w:vAlign w:val="center"/>
          </w:tcPr>
          <w:p w:rsidR="00D5202A" w:rsidRDefault="002E34D9">
            <w:pPr>
              <w:ind w:hanging="2"/>
              <w:jc w:val="center"/>
            </w:pPr>
            <w:r>
              <w:rPr>
                <w:noProof/>
              </w:rPr>
              <w:drawing>
                <wp:inline distT="0" distB="0" distL="0" distR="0">
                  <wp:extent cx="1442296" cy="465217"/>
                  <wp:effectExtent l="0" t="0" r="0" b="0"/>
                  <wp:docPr id="2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442296" cy="465217"/>
                          </a:xfrm>
                          <a:prstGeom prst="rect">
                            <a:avLst/>
                          </a:prstGeom>
                          <a:ln/>
                        </pic:spPr>
                      </pic:pic>
                    </a:graphicData>
                  </a:graphic>
                </wp:inline>
              </w:drawing>
            </w:r>
          </w:p>
        </w:tc>
        <w:tc>
          <w:tcPr>
            <w:tcW w:w="2070" w:type="dxa"/>
            <w:tcBorders>
              <w:left w:val="single" w:sz="8" w:space="0" w:color="FFFFFF"/>
            </w:tcBorders>
            <w:shd w:val="clear" w:color="auto" w:fill="2A66AF"/>
            <w:vAlign w:val="center"/>
          </w:tcPr>
          <w:p w:rsidR="00D5202A" w:rsidRDefault="002E34D9">
            <w:pPr>
              <w:ind w:hanging="2"/>
              <w:jc w:val="center"/>
            </w:pPr>
            <w:r>
              <w:rPr>
                <w:noProof/>
              </w:rPr>
              <w:drawing>
                <wp:inline distT="0" distB="0" distL="0" distR="0">
                  <wp:extent cx="1097496" cy="448673"/>
                  <wp:effectExtent l="0" t="0" r="0" b="0"/>
                  <wp:docPr id="2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t="21967" b="16539"/>
                          <a:stretch>
                            <a:fillRect/>
                          </a:stretch>
                        </pic:blipFill>
                        <pic:spPr>
                          <a:xfrm>
                            <a:off x="0" y="0"/>
                            <a:ext cx="1097496" cy="448673"/>
                          </a:xfrm>
                          <a:prstGeom prst="rect">
                            <a:avLst/>
                          </a:prstGeom>
                          <a:ln/>
                        </pic:spPr>
                      </pic:pic>
                    </a:graphicData>
                  </a:graphic>
                </wp:inline>
              </w:drawing>
            </w:r>
          </w:p>
        </w:tc>
        <w:tc>
          <w:tcPr>
            <w:tcW w:w="85" w:type="dxa"/>
            <w:shd w:val="clear" w:color="auto" w:fill="2A66AF"/>
          </w:tcPr>
          <w:p w:rsidR="00D5202A" w:rsidRDefault="00D5202A">
            <w:pPr>
              <w:ind w:hanging="2"/>
              <w:jc w:val="center"/>
            </w:pPr>
          </w:p>
        </w:tc>
      </w:tr>
      <w:tr w:rsidR="00D5202A">
        <w:tc>
          <w:tcPr>
            <w:tcW w:w="85" w:type="dxa"/>
            <w:shd w:val="clear" w:color="auto" w:fill="2A66AF"/>
          </w:tcPr>
          <w:p w:rsidR="00D5202A" w:rsidRDefault="00D5202A">
            <w:pPr>
              <w:jc w:val="center"/>
              <w:rPr>
                <w:sz w:val="8"/>
                <w:szCs w:val="8"/>
              </w:rPr>
            </w:pPr>
          </w:p>
        </w:tc>
        <w:tc>
          <w:tcPr>
            <w:tcW w:w="2467" w:type="dxa"/>
            <w:shd w:val="clear" w:color="auto" w:fill="2A66AF"/>
            <w:vAlign w:val="center"/>
          </w:tcPr>
          <w:p w:rsidR="00D5202A" w:rsidRDefault="00D5202A">
            <w:pPr>
              <w:jc w:val="center"/>
              <w:rPr>
                <w:sz w:val="8"/>
                <w:szCs w:val="8"/>
              </w:rPr>
            </w:pPr>
          </w:p>
        </w:tc>
        <w:tc>
          <w:tcPr>
            <w:tcW w:w="2268" w:type="dxa"/>
            <w:shd w:val="clear" w:color="auto" w:fill="2A66AF"/>
            <w:vAlign w:val="center"/>
          </w:tcPr>
          <w:p w:rsidR="00D5202A" w:rsidRDefault="00D5202A">
            <w:pPr>
              <w:jc w:val="center"/>
              <w:rPr>
                <w:sz w:val="8"/>
                <w:szCs w:val="8"/>
              </w:rPr>
            </w:pPr>
          </w:p>
        </w:tc>
        <w:tc>
          <w:tcPr>
            <w:tcW w:w="2551" w:type="dxa"/>
            <w:shd w:val="clear" w:color="auto" w:fill="2A66AF"/>
            <w:vAlign w:val="center"/>
          </w:tcPr>
          <w:p w:rsidR="00D5202A" w:rsidRDefault="00D5202A">
            <w:pPr>
              <w:jc w:val="center"/>
              <w:rPr>
                <w:sz w:val="8"/>
                <w:szCs w:val="8"/>
              </w:rPr>
            </w:pPr>
          </w:p>
        </w:tc>
        <w:tc>
          <w:tcPr>
            <w:tcW w:w="2070" w:type="dxa"/>
            <w:shd w:val="clear" w:color="auto" w:fill="2A66AF"/>
            <w:vAlign w:val="center"/>
          </w:tcPr>
          <w:p w:rsidR="00D5202A" w:rsidRDefault="00D5202A">
            <w:pPr>
              <w:jc w:val="center"/>
              <w:rPr>
                <w:sz w:val="8"/>
                <w:szCs w:val="8"/>
              </w:rPr>
            </w:pPr>
          </w:p>
        </w:tc>
        <w:tc>
          <w:tcPr>
            <w:tcW w:w="85" w:type="dxa"/>
            <w:shd w:val="clear" w:color="auto" w:fill="2A66AF"/>
          </w:tcPr>
          <w:p w:rsidR="00D5202A" w:rsidRDefault="00D5202A">
            <w:pPr>
              <w:jc w:val="center"/>
              <w:rPr>
                <w:sz w:val="8"/>
                <w:szCs w:val="8"/>
              </w:rPr>
            </w:pPr>
          </w:p>
        </w:tc>
      </w:tr>
    </w:tbl>
    <w:p w:rsidR="00D5202A" w:rsidRDefault="00D5202A">
      <w:pPr>
        <w:jc w:val="center"/>
        <w:rPr>
          <w:rFonts w:ascii="Tahoma" w:eastAsia="Tahoma" w:hAnsi="Tahoma" w:cs="Tahoma"/>
          <w:b/>
          <w:sz w:val="20"/>
          <w:szCs w:val="20"/>
        </w:rPr>
      </w:pPr>
    </w:p>
    <w:p w:rsidR="00D5202A" w:rsidRDefault="00D5202A">
      <w:pPr>
        <w:jc w:val="center"/>
        <w:rPr>
          <w:rFonts w:ascii="Tahoma" w:eastAsia="Tahoma" w:hAnsi="Tahoma" w:cs="Tahoma"/>
          <w:b/>
          <w:sz w:val="20"/>
          <w:szCs w:val="20"/>
        </w:rPr>
      </w:pPr>
    </w:p>
    <w:p w:rsidR="00D5202A" w:rsidRDefault="00D5202A">
      <w:pPr>
        <w:rPr>
          <w:rFonts w:ascii="Georgia" w:eastAsia="Georgia" w:hAnsi="Georgia" w:cs="Georgia"/>
          <w:b/>
          <w:sz w:val="22"/>
          <w:szCs w:val="22"/>
        </w:rPr>
      </w:pPr>
    </w:p>
    <w:p w:rsidR="00D5202A" w:rsidRDefault="00D5202A">
      <w:pPr>
        <w:spacing w:line="276" w:lineRule="auto"/>
        <w:jc w:val="center"/>
        <w:rPr>
          <w:rFonts w:ascii="Georgia" w:eastAsia="Georgia" w:hAnsi="Georgia" w:cs="Georgia"/>
          <w:b/>
          <w:sz w:val="22"/>
          <w:szCs w:val="22"/>
        </w:rPr>
      </w:pPr>
    </w:p>
    <w:p w:rsidR="00D5202A" w:rsidRDefault="002E34D9">
      <w:pPr>
        <w:spacing w:line="276" w:lineRule="auto"/>
        <w:jc w:val="center"/>
        <w:rPr>
          <w:rFonts w:ascii="Georgia" w:eastAsia="Georgia" w:hAnsi="Georgia" w:cs="Georgia"/>
          <w:b/>
          <w:sz w:val="22"/>
          <w:szCs w:val="22"/>
        </w:rPr>
      </w:pPr>
      <w:r>
        <w:rPr>
          <w:rFonts w:ascii="Georgia" w:eastAsia="Georgia" w:hAnsi="Georgia" w:cs="Georgia"/>
          <w:b/>
          <w:sz w:val="22"/>
          <w:szCs w:val="22"/>
        </w:rPr>
        <w:t>DICHIARAZIONE ASSENZA CONFLITTO DI INTERESSI</w:t>
      </w:r>
    </w:p>
    <w:p w:rsidR="00D5202A" w:rsidRDefault="00D5202A">
      <w:pPr>
        <w:spacing w:line="276" w:lineRule="auto"/>
        <w:jc w:val="both"/>
        <w:rPr>
          <w:rFonts w:ascii="Georgia" w:eastAsia="Georgia" w:hAnsi="Georgia" w:cs="Georgia"/>
          <w:b/>
          <w:sz w:val="22"/>
          <w:szCs w:val="22"/>
        </w:rPr>
      </w:pPr>
    </w:p>
    <w:p w:rsidR="00D5202A" w:rsidRDefault="002E34D9">
      <w:pPr>
        <w:pBdr>
          <w:between w:val="nil"/>
        </w:pBdr>
        <w:ind w:hanging="2"/>
        <w:jc w:val="both"/>
        <w:rPr>
          <w:rFonts w:ascii="Georgia" w:eastAsia="Georgia" w:hAnsi="Georgia" w:cs="Georgia"/>
          <w:color w:val="000000"/>
          <w:sz w:val="22"/>
          <w:szCs w:val="22"/>
        </w:rPr>
      </w:pPr>
      <w:bookmarkStart w:id="0" w:name="_heading=h.gjdgxs" w:colFirst="0" w:colLast="0"/>
      <w:bookmarkEnd w:id="0"/>
      <w:r>
        <w:rPr>
          <w:rFonts w:ascii="Georgia" w:eastAsia="Georgia" w:hAnsi="Georgia" w:cs="Georgia"/>
          <w:color w:val="000000"/>
          <w:sz w:val="22"/>
          <w:szCs w:val="22"/>
        </w:rPr>
        <w:t>N.B. Il presente modello deve essere compilato e sottoscritto digitalmente dal Titolare o Legale Rappresentante dell’Operatore economico concorrente in possesso di una firma digitale valida o firma qualificata equivalente, rilasciata da Enti accreditati, a livello europeo, sulla base del Regolamento UE n° 910/2014 “</w:t>
      </w:r>
      <w:proofErr w:type="spellStart"/>
      <w:r>
        <w:rPr>
          <w:rFonts w:ascii="Georgia" w:eastAsia="Georgia" w:hAnsi="Georgia" w:cs="Georgia"/>
          <w:color w:val="000000"/>
          <w:sz w:val="22"/>
          <w:szCs w:val="22"/>
        </w:rPr>
        <w:t>eIDAS</w:t>
      </w:r>
      <w:proofErr w:type="spellEnd"/>
      <w:r>
        <w:rPr>
          <w:rFonts w:ascii="Georgia" w:eastAsia="Georgia" w:hAnsi="Georgia" w:cs="Georgia"/>
          <w:color w:val="000000"/>
          <w:sz w:val="22"/>
          <w:szCs w:val="22"/>
        </w:rPr>
        <w:t>”.</w:t>
      </w:r>
    </w:p>
    <w:p w:rsidR="00D5202A" w:rsidRDefault="002E34D9">
      <w:pPr>
        <w:pBdr>
          <w:between w:val="nil"/>
        </w:pBdr>
        <w:ind w:hanging="2"/>
        <w:jc w:val="both"/>
        <w:rPr>
          <w:rFonts w:ascii="Georgia" w:eastAsia="Georgia" w:hAnsi="Georgia" w:cs="Georgia"/>
          <w:color w:val="000000"/>
          <w:sz w:val="22"/>
          <w:szCs w:val="22"/>
        </w:rPr>
      </w:pPr>
      <w:r>
        <w:rPr>
          <w:rFonts w:ascii="Georgia" w:eastAsia="Georgia" w:hAnsi="Georgia" w:cs="Georgia"/>
          <w:sz w:val="22"/>
          <w:szCs w:val="22"/>
        </w:rPr>
        <w:t>Nel caso di raggruppamento temporaneo o consorzio ordinario o GEIE costituiti il presente modello deve essere prodotto e sottoscritto digitalmente dal Legale Rappresentante dalla mandataria/capofila.</w:t>
      </w:r>
      <w:r>
        <w:rPr>
          <w:rFonts w:ascii="Georgia" w:eastAsia="Georgia" w:hAnsi="Georgia" w:cs="Georgia"/>
          <w:sz w:val="22"/>
          <w:szCs w:val="22"/>
        </w:rPr>
        <w:br/>
        <w:t>Nel caso di raggruppamento temporaneo o consorzio ordinario o GEIE non ancora costituiti, il presente modello deve essere prodotto e sottoscritto digitalmente dal Legale Rappresentante di ciascuno dei soggetti che costituiranno il raggruppamento o il consorzio o il gruppo.</w:t>
      </w:r>
      <w:r>
        <w:rPr>
          <w:rFonts w:ascii="Georgia" w:eastAsia="Georgia" w:hAnsi="Georgia" w:cs="Georgia"/>
          <w:sz w:val="22"/>
          <w:szCs w:val="22"/>
        </w:rPr>
        <w:br/>
      </w:r>
      <w:r>
        <w:rPr>
          <w:rFonts w:ascii="Georgia" w:eastAsia="Georgia" w:hAnsi="Georgia" w:cs="Georgia"/>
          <w:color w:val="000000"/>
          <w:sz w:val="22"/>
          <w:szCs w:val="22"/>
        </w:rPr>
        <w:t>Il presente modello può anche essere sottoscritto digitalmente da un procuratore dell’Operatore economico concorrente e, in tal caso, deve essere allegata la relativa procura oppure (nel solo caso in cui dalla visura camerale del concorrente risulti l’indicazione espressa dei poteri rappresentativi conferiti con la procura) la dichiarazione sostitutiva resa dal procuratore attestante la sussistenza dei poteri rappresentativi risultanti dalla visura.</w:t>
      </w:r>
    </w:p>
    <w:p w:rsidR="00D5202A" w:rsidRDefault="00D5202A">
      <w:pPr>
        <w:pBdr>
          <w:between w:val="nil"/>
        </w:pBdr>
        <w:ind w:hanging="2"/>
        <w:jc w:val="both"/>
        <w:rPr>
          <w:rFonts w:ascii="Georgia" w:eastAsia="Georgia" w:hAnsi="Georgia" w:cs="Georgia"/>
          <w:color w:val="000000"/>
          <w:sz w:val="22"/>
          <w:szCs w:val="22"/>
        </w:rPr>
      </w:pPr>
    </w:p>
    <w:p w:rsidR="00D5202A" w:rsidRDefault="002E34D9">
      <w:pPr>
        <w:pBdr>
          <w:between w:val="nil"/>
        </w:pBdr>
        <w:ind w:left="2" w:hanging="2"/>
        <w:jc w:val="right"/>
        <w:rPr>
          <w:rFonts w:ascii="Georgia" w:eastAsia="Georgia" w:hAnsi="Georgia" w:cs="Georgia"/>
          <w:color w:val="000000"/>
          <w:sz w:val="22"/>
          <w:szCs w:val="22"/>
        </w:rPr>
      </w:pPr>
      <w:r>
        <w:rPr>
          <w:rFonts w:ascii="Georgia" w:eastAsia="Georgia" w:hAnsi="Georgia" w:cs="Georgia"/>
          <w:color w:val="000000"/>
          <w:sz w:val="22"/>
          <w:szCs w:val="22"/>
        </w:rPr>
        <w:t>Spett.le</w:t>
      </w:r>
    </w:p>
    <w:p w:rsidR="00D5202A" w:rsidRDefault="002E34D9">
      <w:pPr>
        <w:pBdr>
          <w:between w:val="nil"/>
        </w:pBdr>
        <w:ind w:left="2" w:hanging="2"/>
        <w:jc w:val="right"/>
        <w:rPr>
          <w:rFonts w:ascii="Georgia" w:eastAsia="Georgia" w:hAnsi="Georgia" w:cs="Georgia"/>
          <w:color w:val="000000"/>
          <w:sz w:val="22"/>
          <w:szCs w:val="22"/>
        </w:rPr>
      </w:pPr>
      <w:r>
        <w:rPr>
          <w:rFonts w:ascii="Georgia" w:eastAsia="Georgia" w:hAnsi="Georgia" w:cs="Georgia"/>
          <w:color w:val="000000"/>
          <w:sz w:val="22"/>
          <w:szCs w:val="22"/>
        </w:rPr>
        <w:t>Università degli Studi di Torino</w:t>
      </w:r>
    </w:p>
    <w:p w:rsidR="00D5202A" w:rsidRDefault="002E34D9">
      <w:pPr>
        <w:pBdr>
          <w:between w:val="nil"/>
        </w:pBdr>
        <w:ind w:left="2" w:hanging="2"/>
        <w:jc w:val="right"/>
        <w:rPr>
          <w:rFonts w:ascii="Georgia" w:eastAsia="Georgia" w:hAnsi="Georgia" w:cs="Georgia"/>
          <w:color w:val="000000"/>
          <w:sz w:val="22"/>
          <w:szCs w:val="22"/>
        </w:rPr>
      </w:pPr>
      <w:r>
        <w:rPr>
          <w:rFonts w:ascii="Georgia" w:eastAsia="Georgia" w:hAnsi="Georgia" w:cs="Georgia"/>
          <w:color w:val="000000"/>
          <w:sz w:val="22"/>
          <w:szCs w:val="22"/>
        </w:rPr>
        <w:t>Via Verdi n. 8</w:t>
      </w:r>
    </w:p>
    <w:p w:rsidR="00D5202A" w:rsidRDefault="002E34D9">
      <w:pPr>
        <w:keepNext/>
        <w:pBdr>
          <w:between w:val="nil"/>
        </w:pBdr>
        <w:ind w:left="2" w:hanging="2"/>
        <w:jc w:val="right"/>
        <w:rPr>
          <w:rFonts w:ascii="Georgia" w:eastAsia="Georgia" w:hAnsi="Georgia" w:cs="Georgia"/>
          <w:color w:val="000000"/>
          <w:sz w:val="22"/>
          <w:szCs w:val="22"/>
        </w:rPr>
      </w:pPr>
      <w:r>
        <w:rPr>
          <w:rFonts w:ascii="Georgia" w:eastAsia="Georgia" w:hAnsi="Georgia" w:cs="Georgia"/>
          <w:color w:val="000000"/>
          <w:sz w:val="22"/>
          <w:szCs w:val="22"/>
        </w:rPr>
        <w:t>10124 TORINO</w:t>
      </w:r>
    </w:p>
    <w:p w:rsidR="00D5202A" w:rsidRDefault="00D5202A">
      <w:pPr>
        <w:pBdr>
          <w:between w:val="nil"/>
        </w:pBdr>
        <w:ind w:hanging="2"/>
        <w:jc w:val="both"/>
        <w:rPr>
          <w:rFonts w:ascii="Georgia" w:eastAsia="Georgia" w:hAnsi="Georgia" w:cs="Georgia"/>
          <w:color w:val="000000"/>
          <w:sz w:val="22"/>
          <w:szCs w:val="22"/>
        </w:rPr>
      </w:pPr>
      <w:bookmarkStart w:id="1" w:name="bookmark=id.gjdgxs" w:colFirst="0" w:colLast="0"/>
      <w:bookmarkEnd w:id="1"/>
    </w:p>
    <w:p w:rsidR="00D5202A" w:rsidRDefault="00D5202A">
      <w:pPr>
        <w:ind w:hanging="2"/>
        <w:jc w:val="both"/>
        <w:rPr>
          <w:rFonts w:ascii="Georgia" w:eastAsia="Georgia" w:hAnsi="Georgia" w:cs="Georgia"/>
          <w:b/>
          <w:color w:val="000000"/>
          <w:sz w:val="22"/>
          <w:szCs w:val="22"/>
        </w:rPr>
      </w:pPr>
      <w:bookmarkStart w:id="2" w:name="_heading=h.30j0zll" w:colFirst="0" w:colLast="0"/>
      <w:bookmarkEnd w:id="2"/>
    </w:p>
    <w:p w:rsidR="00697DF6" w:rsidRDefault="00697DF6" w:rsidP="00697DF6">
      <w:pPr>
        <w:pStyle w:val="Default"/>
        <w:jc w:val="both"/>
        <w:rPr>
          <w:rFonts w:ascii="Calibri" w:hAnsi="Calibri" w:cs="Calibri"/>
          <w:b/>
        </w:rPr>
      </w:pPr>
      <w:bookmarkStart w:id="3" w:name="_GoBack"/>
      <w:r>
        <w:rPr>
          <w:rFonts w:eastAsia="Georgia"/>
          <w:b/>
        </w:rPr>
        <w:t xml:space="preserve">OGGETTO: </w:t>
      </w:r>
      <w:r>
        <w:rPr>
          <w:rFonts w:ascii="Calibri" w:hAnsi="Calibri" w:cs="Calibri"/>
          <w:b/>
        </w:rPr>
        <w:t xml:space="preserve">Procedura d’affidamento diretto del servizio di "esecuzione dell’attività di impatto delle alterazioni epigenetiche mediate da ferro, e non, nella natura sessualmente dimorfica della NAFLD-NASH, attraverso l’analisi dello sviluppo e della progressione della malattia metabolica in topi privi di </w:t>
      </w:r>
      <w:proofErr w:type="spellStart"/>
      <w:r>
        <w:rPr>
          <w:rFonts w:ascii="Calibri" w:hAnsi="Calibri" w:cs="Calibri"/>
          <w:b/>
        </w:rPr>
        <w:t>metiltransferasi</w:t>
      </w:r>
      <w:proofErr w:type="spellEnd"/>
      <w:r>
        <w:rPr>
          <w:rFonts w:ascii="Calibri" w:hAnsi="Calibri" w:cs="Calibri"/>
          <w:b/>
        </w:rPr>
        <w:t xml:space="preserve"> epatiche” per il Dipartimento di Biotecnologie Molecolari e Scienze per la Salute ai sensi del DL 77/2021 convertito in L. 108/2021 che ha introdotto le semplificazioni in materia di PNRR e nel PNC;</w:t>
      </w:r>
    </w:p>
    <w:p w:rsidR="00697DF6" w:rsidRDefault="00697DF6" w:rsidP="00697DF6">
      <w:pPr>
        <w:widowControl w:val="0"/>
        <w:spacing w:line="252" w:lineRule="auto"/>
        <w:jc w:val="both"/>
        <w:rPr>
          <w:b/>
          <w:color w:val="000000"/>
        </w:rPr>
      </w:pPr>
      <w:r>
        <w:rPr>
          <w:b/>
          <w:color w:val="000000"/>
        </w:rPr>
        <w:t xml:space="preserve">CIG: B2571F7848 – CUP: D53D23005250006 – PROGETTO: TOLE_PRIN_2022_23_01 - 2022XJNWRM-Disentangling </w:t>
      </w:r>
      <w:proofErr w:type="spellStart"/>
      <w:r>
        <w:rPr>
          <w:b/>
          <w:color w:val="000000"/>
        </w:rPr>
        <w:t>genetic</w:t>
      </w:r>
      <w:proofErr w:type="spellEnd"/>
      <w:r>
        <w:rPr>
          <w:b/>
          <w:color w:val="000000"/>
        </w:rPr>
        <w:t xml:space="preserve">, </w:t>
      </w:r>
      <w:proofErr w:type="spellStart"/>
      <w:r>
        <w:rPr>
          <w:b/>
          <w:color w:val="000000"/>
        </w:rPr>
        <w:t>epigenetic</w:t>
      </w:r>
      <w:proofErr w:type="spellEnd"/>
      <w:r>
        <w:rPr>
          <w:b/>
          <w:color w:val="000000"/>
        </w:rPr>
        <w:t xml:space="preserve"> and </w:t>
      </w:r>
      <w:proofErr w:type="spellStart"/>
      <w:r>
        <w:rPr>
          <w:b/>
          <w:color w:val="000000"/>
        </w:rPr>
        <w:t>hormonal</w:t>
      </w:r>
      <w:proofErr w:type="spellEnd"/>
      <w:r>
        <w:rPr>
          <w:b/>
          <w:color w:val="000000"/>
        </w:rPr>
        <w:t xml:space="preserve"> </w:t>
      </w:r>
      <w:proofErr w:type="spellStart"/>
      <w:r>
        <w:rPr>
          <w:b/>
          <w:color w:val="000000"/>
        </w:rPr>
        <w:t>regulation</w:t>
      </w:r>
      <w:proofErr w:type="spellEnd"/>
      <w:r>
        <w:rPr>
          <w:b/>
          <w:color w:val="000000"/>
        </w:rPr>
        <w:t xml:space="preserve"> of Fe/</w:t>
      </w:r>
      <w:proofErr w:type="spellStart"/>
      <w:r>
        <w:rPr>
          <w:b/>
          <w:color w:val="000000"/>
        </w:rPr>
        <w:t>heme</w:t>
      </w:r>
      <w:proofErr w:type="spellEnd"/>
      <w:r>
        <w:rPr>
          <w:b/>
          <w:color w:val="000000"/>
        </w:rPr>
        <w:t xml:space="preserve"> </w:t>
      </w:r>
      <w:proofErr w:type="spellStart"/>
      <w:r>
        <w:rPr>
          <w:b/>
          <w:color w:val="000000"/>
        </w:rPr>
        <w:t>metabolism</w:t>
      </w:r>
      <w:proofErr w:type="spellEnd"/>
      <w:r>
        <w:rPr>
          <w:b/>
          <w:color w:val="000000"/>
        </w:rPr>
        <w:t xml:space="preserve"> in the gender-</w:t>
      </w:r>
      <w:proofErr w:type="spellStart"/>
      <w:r>
        <w:rPr>
          <w:b/>
          <w:color w:val="000000"/>
        </w:rPr>
        <w:t>specific</w:t>
      </w:r>
      <w:proofErr w:type="spellEnd"/>
      <w:r>
        <w:rPr>
          <w:b/>
          <w:color w:val="000000"/>
        </w:rPr>
        <w:t xml:space="preserve"> nature of NAFLD; finanziato dall’Unione europea – </w:t>
      </w:r>
      <w:proofErr w:type="spellStart"/>
      <w:r>
        <w:rPr>
          <w:b/>
          <w:color w:val="000000"/>
        </w:rPr>
        <w:t>Next</w:t>
      </w:r>
      <w:proofErr w:type="spellEnd"/>
      <w:r>
        <w:rPr>
          <w:b/>
          <w:color w:val="000000"/>
        </w:rPr>
        <w:t xml:space="preserve"> Generation EU</w:t>
      </w:r>
    </w:p>
    <w:bookmarkEnd w:id="3"/>
    <w:p w:rsidR="00D5202A" w:rsidRDefault="00D5202A">
      <w:pPr>
        <w:spacing w:before="120"/>
        <w:jc w:val="both"/>
        <w:rPr>
          <w:rFonts w:ascii="Georgia" w:eastAsia="Georgia" w:hAnsi="Georgia" w:cs="Georgia"/>
          <w:b/>
          <w:sz w:val="22"/>
          <w:szCs w:val="22"/>
        </w:rPr>
      </w:pPr>
    </w:p>
    <w:p w:rsidR="00D5202A" w:rsidRDefault="00D5202A">
      <w:pPr>
        <w:widowControl w:val="0"/>
        <w:spacing w:line="252" w:lineRule="auto"/>
        <w:jc w:val="both"/>
        <w:rPr>
          <w:rFonts w:ascii="Georgia" w:eastAsia="Georgia" w:hAnsi="Georgia" w:cs="Georgia"/>
          <w:b/>
          <w:sz w:val="22"/>
          <w:szCs w:val="22"/>
        </w:rPr>
      </w:pPr>
    </w:p>
    <w:p w:rsidR="00D5202A" w:rsidRDefault="00D5202A">
      <w:pPr>
        <w:ind w:hanging="2"/>
        <w:jc w:val="both"/>
        <w:rPr>
          <w:rFonts w:ascii="Georgia" w:eastAsia="Georgia" w:hAnsi="Georgia" w:cs="Georgia"/>
          <w:i/>
          <w:sz w:val="22"/>
          <w:szCs w:val="22"/>
        </w:rPr>
      </w:pPr>
    </w:p>
    <w:p w:rsidR="00D5202A" w:rsidRDefault="002E34D9">
      <w:pPr>
        <w:spacing w:line="276" w:lineRule="auto"/>
        <w:jc w:val="both"/>
        <w:rPr>
          <w:rFonts w:ascii="Georgia" w:eastAsia="Georgia" w:hAnsi="Georgia" w:cs="Georgia"/>
          <w:sz w:val="22"/>
          <w:szCs w:val="22"/>
        </w:rPr>
      </w:pPr>
      <w:r>
        <w:rPr>
          <w:rFonts w:ascii="Georgia" w:eastAsia="Georgia" w:hAnsi="Georgia" w:cs="Georgia"/>
          <w:sz w:val="22"/>
          <w:szCs w:val="22"/>
        </w:rPr>
        <w:t>Il sottoscritto_________________________________ nato a _____________________________il _________________________ in qualità di______________________________________ (legale rappresentante o procuratore) dell’Operatore economico singolo/mandatario (cancellare la voce che non interessa) ______________________________________________________________________con sede legale in __________________________________________________ Codice fiscale: ___________________Partita IVA: _____________________</w:t>
      </w:r>
    </w:p>
    <w:p w:rsidR="00D5202A" w:rsidRDefault="00D5202A">
      <w:pPr>
        <w:rPr>
          <w:rFonts w:ascii="Georgia" w:eastAsia="Georgia" w:hAnsi="Georgia" w:cs="Georgia"/>
          <w:sz w:val="22"/>
          <w:szCs w:val="22"/>
        </w:rPr>
      </w:pPr>
    </w:p>
    <w:p w:rsidR="00D5202A" w:rsidRDefault="002E34D9">
      <w:pPr>
        <w:jc w:val="center"/>
        <w:rPr>
          <w:rFonts w:ascii="Georgia" w:eastAsia="Georgia" w:hAnsi="Georgia" w:cs="Georgia"/>
          <w:b/>
          <w:sz w:val="22"/>
          <w:szCs w:val="22"/>
        </w:rPr>
      </w:pPr>
      <w:r>
        <w:rPr>
          <w:rFonts w:ascii="Georgia" w:eastAsia="Georgia" w:hAnsi="Georgia" w:cs="Georgia"/>
          <w:b/>
          <w:sz w:val="22"/>
          <w:szCs w:val="22"/>
        </w:rPr>
        <w:t>DICHIARA</w:t>
      </w:r>
    </w:p>
    <w:p w:rsidR="00D5202A" w:rsidRDefault="00D5202A">
      <w:pPr>
        <w:rPr>
          <w:rFonts w:ascii="Georgia" w:eastAsia="Georgia" w:hAnsi="Georgia" w:cs="Georgia"/>
          <w:sz w:val="22"/>
          <w:szCs w:val="22"/>
          <w:u w:val="single"/>
        </w:rPr>
      </w:pPr>
    </w:p>
    <w:p w:rsidR="00D5202A" w:rsidRDefault="00D5202A">
      <w:pPr>
        <w:jc w:val="both"/>
        <w:rPr>
          <w:rFonts w:ascii="Georgia" w:eastAsia="Georgia" w:hAnsi="Georgia" w:cs="Georgia"/>
          <w:sz w:val="22"/>
          <w:szCs w:val="22"/>
        </w:rPr>
      </w:pPr>
    </w:p>
    <w:p w:rsidR="00D5202A" w:rsidRDefault="002E34D9">
      <w:pPr>
        <w:numPr>
          <w:ilvl w:val="0"/>
          <w:numId w:val="1"/>
        </w:numPr>
        <w:pBdr>
          <w:top w:val="nil"/>
          <w:left w:val="nil"/>
          <w:bottom w:val="nil"/>
          <w:right w:val="nil"/>
          <w:between w:val="nil"/>
        </w:pBdr>
        <w:ind w:left="426" w:hanging="426"/>
        <w:jc w:val="both"/>
        <w:rPr>
          <w:rFonts w:ascii="Georgia" w:eastAsia="Georgia" w:hAnsi="Georgia" w:cs="Georgia"/>
          <w:color w:val="000000"/>
          <w:sz w:val="22"/>
          <w:szCs w:val="22"/>
        </w:rPr>
      </w:pPr>
      <w:r>
        <w:rPr>
          <w:rFonts w:ascii="Georgia" w:eastAsia="Georgia" w:hAnsi="Georgia" w:cs="Georgia"/>
          <w:color w:val="000000"/>
          <w:sz w:val="22"/>
          <w:szCs w:val="22"/>
        </w:rPr>
        <w:t xml:space="preserve">che la partecipazione alla procedura in oggetto </w:t>
      </w:r>
      <w:r>
        <w:rPr>
          <w:rFonts w:ascii="Georgia" w:eastAsia="Georgia" w:hAnsi="Georgia" w:cs="Georgia"/>
          <w:b/>
          <w:color w:val="000000"/>
          <w:sz w:val="22"/>
          <w:szCs w:val="22"/>
        </w:rPr>
        <w:t>non determina</w:t>
      </w:r>
      <w:r>
        <w:rPr>
          <w:rFonts w:ascii="Georgia" w:eastAsia="Georgia" w:hAnsi="Georgia" w:cs="Georgia"/>
          <w:color w:val="000000"/>
          <w:sz w:val="22"/>
          <w:szCs w:val="22"/>
        </w:rPr>
        <w:t xml:space="preserve">, per quanto a propria conoscenza, una situazione di conflitto di interesse, ai sensi dell’art. 16 del </w:t>
      </w:r>
      <w:proofErr w:type="spellStart"/>
      <w:r>
        <w:rPr>
          <w:rFonts w:ascii="Georgia" w:eastAsia="Georgia" w:hAnsi="Georgia" w:cs="Georgia"/>
          <w:color w:val="000000"/>
          <w:sz w:val="22"/>
          <w:szCs w:val="22"/>
        </w:rPr>
        <w:t>D.Lgs.</w:t>
      </w:r>
      <w:proofErr w:type="spellEnd"/>
      <w:r>
        <w:rPr>
          <w:rFonts w:ascii="Georgia" w:eastAsia="Georgia" w:hAnsi="Georgia" w:cs="Georgia"/>
          <w:color w:val="000000"/>
          <w:sz w:val="22"/>
          <w:szCs w:val="22"/>
        </w:rPr>
        <w:t xml:space="preserve"> n. 36/2023 ovvero quando un soggetto che, a qualsiasi titolo, interviene con compiti funzionali nella procedura di aggiudicazione o nella fase di esecuzione degli appalti o delle concessioni e ne può influenzare, in qualsiasi modo, il risultato, gli esiti e la gestione, ha direttamente o indirettamente un interesse finanziario economico o altro interesse personale che può essere percepito come una minaccia concreta ed effettiva alla sua imparzialità e indipendenza nel contesto della procedura di aggiudicazione o nella fase di esecuzione;</w:t>
      </w:r>
    </w:p>
    <w:p w:rsidR="00D5202A" w:rsidRDefault="00D5202A">
      <w:pPr>
        <w:ind w:left="426" w:hanging="426"/>
        <w:jc w:val="both"/>
        <w:rPr>
          <w:rFonts w:ascii="Georgia" w:eastAsia="Georgia" w:hAnsi="Georgia" w:cs="Georgia"/>
          <w:sz w:val="22"/>
          <w:szCs w:val="22"/>
        </w:rPr>
      </w:pPr>
    </w:p>
    <w:p w:rsidR="00D5202A" w:rsidRDefault="002E34D9">
      <w:pPr>
        <w:ind w:left="426" w:hanging="426"/>
        <w:jc w:val="both"/>
        <w:rPr>
          <w:rFonts w:ascii="Georgia" w:eastAsia="Georgia" w:hAnsi="Georgia" w:cs="Georgia"/>
          <w:i/>
          <w:sz w:val="22"/>
          <w:szCs w:val="22"/>
        </w:rPr>
      </w:pPr>
      <w:r>
        <w:rPr>
          <w:rFonts w:ascii="Georgia" w:eastAsia="Georgia" w:hAnsi="Georgia" w:cs="Georgia"/>
          <w:i/>
          <w:sz w:val="22"/>
          <w:szCs w:val="22"/>
        </w:rPr>
        <w:t>ovvero</w:t>
      </w:r>
    </w:p>
    <w:p w:rsidR="00D5202A" w:rsidRDefault="002E34D9">
      <w:pPr>
        <w:pBdr>
          <w:top w:val="nil"/>
          <w:left w:val="nil"/>
          <w:bottom w:val="nil"/>
          <w:right w:val="nil"/>
          <w:between w:val="nil"/>
        </w:pBdr>
        <w:ind w:left="426" w:hanging="426"/>
        <w:jc w:val="both"/>
        <w:rPr>
          <w:rFonts w:ascii="Georgia" w:eastAsia="Georgia" w:hAnsi="Georgia" w:cs="Georgia"/>
          <w:color w:val="000000"/>
          <w:sz w:val="22"/>
          <w:szCs w:val="22"/>
        </w:rPr>
      </w:pPr>
      <w:r>
        <w:rPr>
          <w:rFonts w:ascii="Georgia" w:eastAsia="Georgia" w:hAnsi="Georgia" w:cs="Georgia"/>
          <w:color w:val="000000"/>
          <w:sz w:val="22"/>
          <w:szCs w:val="22"/>
        </w:rPr>
        <w:t xml:space="preserve"> </w:t>
      </w:r>
    </w:p>
    <w:p w:rsidR="00D5202A" w:rsidRDefault="002E34D9">
      <w:pPr>
        <w:numPr>
          <w:ilvl w:val="0"/>
          <w:numId w:val="1"/>
        </w:numPr>
        <w:pBdr>
          <w:top w:val="nil"/>
          <w:left w:val="nil"/>
          <w:bottom w:val="nil"/>
          <w:right w:val="nil"/>
          <w:between w:val="nil"/>
        </w:pBdr>
        <w:ind w:left="426" w:hanging="426"/>
        <w:jc w:val="both"/>
        <w:rPr>
          <w:rFonts w:ascii="Georgia" w:eastAsia="Georgia" w:hAnsi="Georgia" w:cs="Georgia"/>
          <w:color w:val="000000"/>
          <w:sz w:val="22"/>
          <w:szCs w:val="22"/>
        </w:rPr>
      </w:pPr>
      <w:r>
        <w:rPr>
          <w:rFonts w:ascii="Georgia" w:eastAsia="Georgia" w:hAnsi="Georgia" w:cs="Georgia"/>
          <w:color w:val="000000"/>
          <w:sz w:val="22"/>
          <w:szCs w:val="22"/>
        </w:rPr>
        <w:t xml:space="preserve">che la partecipazione alla procedura in oggetto </w:t>
      </w:r>
      <w:r>
        <w:rPr>
          <w:rFonts w:ascii="Georgia" w:eastAsia="Georgia" w:hAnsi="Georgia" w:cs="Georgia"/>
          <w:b/>
          <w:color w:val="000000"/>
          <w:sz w:val="22"/>
          <w:szCs w:val="22"/>
        </w:rPr>
        <w:t>determina</w:t>
      </w:r>
      <w:r>
        <w:rPr>
          <w:rFonts w:ascii="Georgia" w:eastAsia="Georgia" w:hAnsi="Georgia" w:cs="Georgia"/>
          <w:color w:val="000000"/>
          <w:sz w:val="22"/>
          <w:szCs w:val="22"/>
        </w:rPr>
        <w:t xml:space="preserve"> una situazione di conflitto di interessi, ai sensi dell’art.16 del </w:t>
      </w:r>
      <w:proofErr w:type="spellStart"/>
      <w:r>
        <w:rPr>
          <w:rFonts w:ascii="Georgia" w:eastAsia="Georgia" w:hAnsi="Georgia" w:cs="Georgia"/>
          <w:color w:val="000000"/>
          <w:sz w:val="22"/>
          <w:szCs w:val="22"/>
        </w:rPr>
        <w:t>D.Lgs.</w:t>
      </w:r>
      <w:proofErr w:type="spellEnd"/>
      <w:r>
        <w:rPr>
          <w:rFonts w:ascii="Georgia" w:eastAsia="Georgia" w:hAnsi="Georgia" w:cs="Georgia"/>
          <w:color w:val="000000"/>
          <w:sz w:val="22"/>
          <w:szCs w:val="22"/>
        </w:rPr>
        <w:t xml:space="preserve"> n. 36/2023 debitamente documentata, e pertanto si astiene dal partecipare alla predetta procedura d’acquisto.</w:t>
      </w:r>
    </w:p>
    <w:p w:rsidR="00D5202A" w:rsidRDefault="00D5202A">
      <w:pPr>
        <w:jc w:val="both"/>
        <w:rPr>
          <w:rFonts w:ascii="Georgia" w:eastAsia="Georgia" w:hAnsi="Georgia" w:cs="Georgia"/>
          <w:sz w:val="22"/>
          <w:szCs w:val="22"/>
        </w:rPr>
      </w:pPr>
    </w:p>
    <w:p w:rsidR="00D5202A" w:rsidRDefault="00D5202A">
      <w:pPr>
        <w:jc w:val="both"/>
        <w:rPr>
          <w:rFonts w:ascii="Georgia" w:eastAsia="Georgia" w:hAnsi="Georgia" w:cs="Georgia"/>
          <w:sz w:val="22"/>
          <w:szCs w:val="22"/>
        </w:rPr>
      </w:pPr>
    </w:p>
    <w:p w:rsidR="00D5202A" w:rsidRDefault="002E34D9">
      <w:pPr>
        <w:pBdr>
          <w:top w:val="nil"/>
          <w:left w:val="nil"/>
          <w:bottom w:val="nil"/>
          <w:right w:val="nil"/>
          <w:between w:val="nil"/>
        </w:pBdr>
        <w:jc w:val="both"/>
        <w:rPr>
          <w:rFonts w:ascii="Georgia" w:eastAsia="Georgia" w:hAnsi="Georgia" w:cs="Georgia"/>
          <w:color w:val="000000"/>
          <w:sz w:val="22"/>
          <w:szCs w:val="22"/>
        </w:rPr>
      </w:pPr>
      <w:r>
        <w:rPr>
          <w:rFonts w:ascii="Georgia" w:eastAsia="Georgia" w:hAnsi="Georgia" w:cs="Georgia"/>
          <w:color w:val="000000"/>
          <w:sz w:val="22"/>
          <w:szCs w:val="22"/>
        </w:rPr>
        <w:t xml:space="preserve">L’Operatore economico, consapevole della responsabilità penale cui può andare incontro in caso di dichiarazioni mendaci o contenenti dati non più rispondenti a verità (art. 76 d.P.R. n. 445/2000), sottoscrive digitalmente il presente modello. </w:t>
      </w:r>
    </w:p>
    <w:p w:rsidR="00D5202A" w:rsidRDefault="00D5202A">
      <w:pPr>
        <w:pBdr>
          <w:top w:val="nil"/>
          <w:left w:val="nil"/>
          <w:bottom w:val="nil"/>
          <w:right w:val="nil"/>
          <w:between w:val="nil"/>
        </w:pBdr>
        <w:jc w:val="both"/>
        <w:rPr>
          <w:rFonts w:ascii="Georgia" w:eastAsia="Georgia" w:hAnsi="Georgia" w:cs="Georgia"/>
          <w:color w:val="000000"/>
          <w:sz w:val="22"/>
          <w:szCs w:val="22"/>
        </w:rPr>
      </w:pPr>
    </w:p>
    <w:p w:rsidR="00D5202A" w:rsidRDefault="00D5202A">
      <w:pPr>
        <w:pBdr>
          <w:top w:val="nil"/>
          <w:left w:val="nil"/>
          <w:bottom w:val="nil"/>
          <w:right w:val="nil"/>
          <w:between w:val="nil"/>
        </w:pBdr>
        <w:jc w:val="both"/>
        <w:rPr>
          <w:rFonts w:ascii="Georgia" w:eastAsia="Georgia" w:hAnsi="Georgia" w:cs="Georgia"/>
          <w:color w:val="000000"/>
          <w:sz w:val="22"/>
          <w:szCs w:val="22"/>
        </w:rPr>
      </w:pPr>
    </w:p>
    <w:p w:rsidR="00D5202A" w:rsidRDefault="002E34D9">
      <w:pPr>
        <w:pBdr>
          <w:top w:val="nil"/>
          <w:left w:val="nil"/>
          <w:bottom w:val="nil"/>
          <w:right w:val="nil"/>
          <w:between w:val="nil"/>
        </w:pBdr>
        <w:rPr>
          <w:rFonts w:ascii="Georgia" w:eastAsia="Georgia" w:hAnsi="Georgia" w:cs="Georgia"/>
          <w:color w:val="000000"/>
          <w:sz w:val="22"/>
          <w:szCs w:val="22"/>
        </w:rPr>
      </w:pPr>
      <w:r>
        <w:rPr>
          <w:rFonts w:ascii="Georgia" w:eastAsia="Georgia" w:hAnsi="Georgia" w:cs="Georgia"/>
          <w:color w:val="000000"/>
          <w:sz w:val="22"/>
          <w:szCs w:val="22"/>
        </w:rPr>
        <w:t xml:space="preserve">_____________________________________________ </w:t>
      </w:r>
    </w:p>
    <w:p w:rsidR="00D5202A" w:rsidRDefault="002E34D9">
      <w:pPr>
        <w:pBdr>
          <w:top w:val="nil"/>
          <w:left w:val="nil"/>
          <w:bottom w:val="nil"/>
          <w:right w:val="nil"/>
          <w:between w:val="nil"/>
        </w:pBdr>
        <w:rPr>
          <w:rFonts w:ascii="Georgia" w:eastAsia="Georgia" w:hAnsi="Georgia" w:cs="Georgia"/>
          <w:color w:val="000000"/>
          <w:sz w:val="18"/>
          <w:szCs w:val="18"/>
        </w:rPr>
      </w:pPr>
      <w:r>
        <w:rPr>
          <w:rFonts w:ascii="Georgia" w:eastAsia="Georgia" w:hAnsi="Georgia" w:cs="Georgia"/>
          <w:i/>
          <w:color w:val="000000"/>
          <w:sz w:val="18"/>
          <w:szCs w:val="18"/>
        </w:rPr>
        <w:t>(firma digitale del Legale Rappresentante o Procuratore dell’Operatore Economico)</w:t>
      </w:r>
    </w:p>
    <w:sectPr w:rsidR="00D5202A">
      <w:headerReference w:type="default" r:id="rId12"/>
      <w:footerReference w:type="default" r:id="rId13"/>
      <w:headerReference w:type="first" r:id="rId14"/>
      <w:footerReference w:type="first" r:id="rId15"/>
      <w:pgSz w:w="11900" w:h="16840"/>
      <w:pgMar w:top="3646" w:right="1134" w:bottom="1690" w:left="2784" w:header="1418"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496B" w:rsidRDefault="00E7496B">
      <w:r>
        <w:separator/>
      </w:r>
    </w:p>
  </w:endnote>
  <w:endnote w:type="continuationSeparator" w:id="0">
    <w:p w:rsidR="00E7496B" w:rsidRDefault="00E74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02A" w:rsidRDefault="00D5202A">
    <w:pPr>
      <w:pBdr>
        <w:top w:val="nil"/>
        <w:left w:val="nil"/>
        <w:bottom w:val="nil"/>
        <w:right w:val="nil"/>
        <w:between w:val="nil"/>
      </w:pBdr>
      <w:tabs>
        <w:tab w:val="center" w:pos="4819"/>
        <w:tab w:val="right" w:pos="9638"/>
      </w:tabs>
      <w:ind w:left="392"/>
      <w:rPr>
        <w:rFonts w:ascii="Tahoma" w:eastAsia="Tahoma" w:hAnsi="Tahoma" w:cs="Tahoma"/>
        <w:color w:val="00000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02A" w:rsidRDefault="002E34D9">
    <w:pPr>
      <w:pBdr>
        <w:top w:val="nil"/>
        <w:left w:val="nil"/>
        <w:bottom w:val="nil"/>
        <w:right w:val="nil"/>
        <w:between w:val="nil"/>
      </w:pBdr>
      <w:tabs>
        <w:tab w:val="center" w:pos="4819"/>
        <w:tab w:val="right" w:pos="9638"/>
      </w:tabs>
      <w:rPr>
        <w:color w:val="000000"/>
      </w:rPr>
    </w:pPr>
    <w:r>
      <w:rPr>
        <w:noProof/>
      </w:rPr>
      <mc:AlternateContent>
        <mc:Choice Requires="wps">
          <w:drawing>
            <wp:anchor distT="0" distB="0" distL="114300" distR="114300" simplePos="0" relativeHeight="251660288" behindDoc="0" locked="0" layoutInCell="1" hidden="0" allowOverlap="1">
              <wp:simplePos x="0" y="0"/>
              <wp:positionH relativeFrom="column">
                <wp:posOffset>-1765299</wp:posOffset>
              </wp:positionH>
              <wp:positionV relativeFrom="paragraph">
                <wp:posOffset>9626600</wp:posOffset>
              </wp:positionV>
              <wp:extent cx="7581265" cy="1099185"/>
              <wp:effectExtent l="0" t="0" r="0" b="0"/>
              <wp:wrapNone/>
              <wp:docPr id="16" name="Rettangolo 16"/>
              <wp:cNvGraphicFramePr/>
              <a:graphic xmlns:a="http://schemas.openxmlformats.org/drawingml/2006/main">
                <a:graphicData uri="http://schemas.microsoft.com/office/word/2010/wordprocessingShape">
                  <wps:wsp>
                    <wps:cNvSpPr/>
                    <wps:spPr>
                      <a:xfrm>
                        <a:off x="1564893" y="3239933"/>
                        <a:ext cx="7562215" cy="1080135"/>
                      </a:xfrm>
                      <a:prstGeom prst="rect">
                        <a:avLst/>
                      </a:prstGeom>
                      <a:noFill/>
                      <a:ln>
                        <a:noFill/>
                      </a:ln>
                    </wps:spPr>
                    <wps:txbx>
                      <w:txbxContent>
                        <w:p w:rsidR="00D5202A" w:rsidRDefault="002E34D9">
                          <w:pPr>
                            <w:textDirection w:val="btLr"/>
                          </w:pPr>
                          <w:r>
                            <w:rPr>
                              <w:rFonts w:ascii="Tahoma" w:eastAsia="Tahoma" w:hAnsi="Tahoma" w:cs="Tahoma"/>
                              <w:color w:val="000000"/>
                              <w:sz w:val="18"/>
                            </w:rPr>
                            <w:t xml:space="preserve">                                                      </w:t>
                          </w:r>
                        </w:p>
                        <w:p w:rsidR="00D5202A" w:rsidRDefault="002E34D9">
                          <w:pPr>
                            <w:textDirection w:val="btLr"/>
                          </w:pPr>
                          <w:r>
                            <w:rPr>
                              <w:rFonts w:ascii="Tahoma" w:eastAsia="Tahoma" w:hAnsi="Tahoma" w:cs="Tahoma"/>
                              <w:color w:val="000000"/>
                              <w:sz w:val="18"/>
                            </w:rPr>
                            <w:t xml:space="preserve">                                                      Direzione Bilancio e Contratti</w:t>
                          </w:r>
                        </w:p>
                        <w:p w:rsidR="00D5202A" w:rsidRDefault="002E34D9">
                          <w:pPr>
                            <w:textDirection w:val="btLr"/>
                          </w:pPr>
                          <w:r>
                            <w:rPr>
                              <w:rFonts w:ascii="Tahoma" w:eastAsia="Tahoma" w:hAnsi="Tahoma" w:cs="Tahoma"/>
                              <w:color w:val="000000"/>
                              <w:sz w:val="18"/>
                            </w:rPr>
                            <w:t xml:space="preserve">                                                      Staff Innovazione, Sviluppo e Coordinamento</w:t>
                          </w:r>
                        </w:p>
                        <w:p w:rsidR="00D5202A" w:rsidRDefault="002E34D9">
                          <w:pPr>
                            <w:spacing w:before="60"/>
                            <w:ind w:left="3022" w:firstLine="6044"/>
                            <w:textDirection w:val="btLr"/>
                          </w:pPr>
                          <w:r>
                            <w:rPr>
                              <w:rFonts w:ascii="Tahoma" w:eastAsia="Tahoma" w:hAnsi="Tahoma" w:cs="Tahoma"/>
                              <w:color w:val="000000"/>
                              <w:sz w:val="18"/>
                            </w:rPr>
                            <w:t>Via Vasco, 4 - 10124 Torino (TO)</w:t>
                          </w:r>
                          <w:r>
                            <w:rPr>
                              <w:rFonts w:ascii="Tahoma" w:eastAsia="Tahoma" w:hAnsi="Tahoma" w:cs="Tahoma"/>
                              <w:color w:val="000000"/>
                              <w:sz w:val="18"/>
                            </w:rPr>
                            <w:br/>
                            <w:t>referenti.trasparenza@unito.it</w:t>
                          </w:r>
                        </w:p>
                      </w:txbxContent>
                    </wps:txbx>
                    <wps:bodyPr spcFirstLastPara="1" wrap="square" lIns="91425" tIns="45700" rIns="91425" bIns="45700" anchor="t" anchorCtr="0">
                      <a:noAutofit/>
                    </wps:bodyPr>
                  </wps:wsp>
                </a:graphicData>
              </a:graphic>
            </wp:anchor>
          </w:drawing>
        </mc:Choice>
        <mc:Fallback>
          <w:pict>
            <v:rect id="Rettangolo 16" o:spid="_x0000_s1026" style="position:absolute;margin-left:-139pt;margin-top:758pt;width:596.95pt;height:86.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" filled="f" stroked="f">
              <v:textbox inset="2.53958mm,1.2694mm,2.53958mm,1.2694mm">
                <w:txbxContent>
                  <w:p w:rsidR="00D5202A" w:rsidRDefault="002E34D9">
                    <w:pPr>
                      <w:textDirection w:val="btLr"/>
                    </w:pPr>
                    <w:r>
                      <w:rPr>
                        <w:rFonts w:ascii="Tahoma" w:eastAsia="Tahoma" w:hAnsi="Tahoma" w:cs="Tahoma"/>
                        <w:color w:val="000000"/>
                        <w:sz w:val="18"/>
                      </w:rPr>
                      <w:t xml:space="preserve">                                                      </w:t>
                    </w:r>
                  </w:p>
                  <w:p w:rsidR="00D5202A" w:rsidRDefault="002E34D9">
                    <w:pPr>
                      <w:textDirection w:val="btLr"/>
                    </w:pPr>
                    <w:r>
                      <w:rPr>
                        <w:rFonts w:ascii="Tahoma" w:eastAsia="Tahoma" w:hAnsi="Tahoma" w:cs="Tahoma"/>
                        <w:color w:val="000000"/>
                        <w:sz w:val="18"/>
                      </w:rPr>
                      <w:t xml:space="preserve">                                                      Direzione Bilancio e Contratti</w:t>
                    </w:r>
                  </w:p>
                  <w:p w:rsidR="00D5202A" w:rsidRDefault="002E34D9">
                    <w:pPr>
                      <w:textDirection w:val="btLr"/>
                    </w:pPr>
                    <w:r>
                      <w:rPr>
                        <w:rFonts w:ascii="Tahoma" w:eastAsia="Tahoma" w:hAnsi="Tahoma" w:cs="Tahoma"/>
                        <w:color w:val="000000"/>
                        <w:sz w:val="18"/>
                      </w:rPr>
                      <w:t xml:space="preserve">                                                      Staff Innovazione, Sviluppo e Coordinamento</w:t>
                    </w:r>
                  </w:p>
                  <w:p w:rsidR="00D5202A" w:rsidRDefault="002E34D9">
                    <w:pPr>
                      <w:spacing w:before="60"/>
                      <w:ind w:left="3022" w:firstLine="6044"/>
                      <w:textDirection w:val="btLr"/>
                    </w:pPr>
                    <w:r>
                      <w:rPr>
                        <w:rFonts w:ascii="Tahoma" w:eastAsia="Tahoma" w:hAnsi="Tahoma" w:cs="Tahoma"/>
                        <w:color w:val="000000"/>
                        <w:sz w:val="18"/>
                      </w:rPr>
                      <w:t>Via Vasco, 4 - 10124 Torino (TO)</w:t>
                    </w:r>
                    <w:r>
                      <w:rPr>
                        <w:rFonts w:ascii="Tahoma" w:eastAsia="Tahoma" w:hAnsi="Tahoma" w:cs="Tahoma"/>
                        <w:color w:val="000000"/>
                        <w:sz w:val="18"/>
                      </w:rPr>
                      <w:br/>
                      <w:t>referenti.trasparenza@unito.it</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496B" w:rsidRDefault="00E7496B">
      <w:r>
        <w:separator/>
      </w:r>
    </w:p>
  </w:footnote>
  <w:footnote w:type="continuationSeparator" w:id="0">
    <w:p w:rsidR="00E7496B" w:rsidRDefault="00E749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02A" w:rsidRDefault="002E34D9">
    <w:pPr>
      <w:pBdr>
        <w:top w:val="nil"/>
        <w:left w:val="nil"/>
        <w:bottom w:val="nil"/>
        <w:right w:val="nil"/>
        <w:between w:val="nil"/>
      </w:pBdr>
      <w:tabs>
        <w:tab w:val="center" w:pos="4819"/>
        <w:tab w:val="right" w:pos="9638"/>
      </w:tabs>
      <w:ind w:left="420"/>
      <w:rPr>
        <w:color w:val="000000"/>
      </w:rPr>
    </w:pPr>
    <w:r>
      <w:rPr>
        <w:noProof/>
        <w:color w:val="000000"/>
      </w:rPr>
      <w:drawing>
        <wp:anchor distT="0" distB="0" distL="0" distR="0" simplePos="0" relativeHeight="251658240" behindDoc="1" locked="0" layoutInCell="1" hidden="0" allowOverlap="1">
          <wp:simplePos x="0" y="0"/>
          <wp:positionH relativeFrom="page">
            <wp:posOffset>97</wp:posOffset>
          </wp:positionH>
          <wp:positionV relativeFrom="page">
            <wp:posOffset>0</wp:posOffset>
          </wp:positionV>
          <wp:extent cx="7560000" cy="10695600"/>
          <wp:effectExtent l="0" t="0" r="0" b="0"/>
          <wp:wrapNone/>
          <wp:docPr id="1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7560000" cy="106956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02A" w:rsidRDefault="002E34D9">
    <w:pPr>
      <w:pBdr>
        <w:top w:val="nil"/>
        <w:left w:val="nil"/>
        <w:bottom w:val="nil"/>
        <w:right w:val="nil"/>
        <w:between w:val="nil"/>
      </w:pBdr>
      <w:tabs>
        <w:tab w:val="center" w:pos="4819"/>
        <w:tab w:val="right" w:pos="9638"/>
      </w:tabs>
      <w:rPr>
        <w:color w:val="000000"/>
      </w:rPr>
    </w:pPr>
    <w:r>
      <w:rPr>
        <w:noProof/>
        <w:color w:val="000000"/>
      </w:rPr>
      <w:drawing>
        <wp:anchor distT="0" distB="0" distL="0" distR="0" simplePos="0" relativeHeight="251659264" behindDoc="1" locked="0" layoutInCell="1" hidden="0" allowOverlap="1">
          <wp:simplePos x="0" y="0"/>
          <wp:positionH relativeFrom="page">
            <wp:posOffset>-126666</wp:posOffset>
          </wp:positionH>
          <wp:positionV relativeFrom="margin">
            <wp:align>center</wp:align>
          </wp:positionV>
          <wp:extent cx="7560310" cy="10699115"/>
          <wp:effectExtent l="0" t="0" r="0" b="0"/>
          <wp:wrapNone/>
          <wp:docPr id="1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7560310" cy="1069911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75730D"/>
    <w:multiLevelType w:val="multilevel"/>
    <w:tmpl w:val="26562DE8"/>
    <w:lvl w:ilvl="0">
      <w:start w:val="1"/>
      <w:numFmt w:val="bullet"/>
      <w:lvlText w:val="o"/>
      <w:lvlJc w:val="left"/>
      <w:pPr>
        <w:ind w:left="770" w:hanging="360"/>
      </w:pPr>
      <w:rPr>
        <w:rFonts w:ascii="Courier New" w:eastAsia="Courier New" w:hAnsi="Courier New" w:cs="Courier New"/>
      </w:rPr>
    </w:lvl>
    <w:lvl w:ilvl="1">
      <w:start w:val="1"/>
      <w:numFmt w:val="bullet"/>
      <w:lvlText w:val="o"/>
      <w:lvlJc w:val="left"/>
      <w:pPr>
        <w:ind w:left="1490" w:hanging="360"/>
      </w:pPr>
      <w:rPr>
        <w:rFonts w:ascii="Courier New" w:eastAsia="Courier New" w:hAnsi="Courier New" w:cs="Courier New"/>
      </w:rPr>
    </w:lvl>
    <w:lvl w:ilvl="2">
      <w:start w:val="1"/>
      <w:numFmt w:val="bullet"/>
      <w:lvlText w:val="▪"/>
      <w:lvlJc w:val="left"/>
      <w:pPr>
        <w:ind w:left="2210" w:hanging="360"/>
      </w:pPr>
      <w:rPr>
        <w:rFonts w:ascii="Noto Sans Symbols" w:eastAsia="Noto Sans Symbols" w:hAnsi="Noto Sans Symbols" w:cs="Noto Sans Symbols"/>
      </w:rPr>
    </w:lvl>
    <w:lvl w:ilvl="3">
      <w:start w:val="1"/>
      <w:numFmt w:val="bullet"/>
      <w:lvlText w:val="●"/>
      <w:lvlJc w:val="left"/>
      <w:pPr>
        <w:ind w:left="2930" w:hanging="360"/>
      </w:pPr>
      <w:rPr>
        <w:rFonts w:ascii="Noto Sans Symbols" w:eastAsia="Noto Sans Symbols" w:hAnsi="Noto Sans Symbols" w:cs="Noto Sans Symbols"/>
      </w:rPr>
    </w:lvl>
    <w:lvl w:ilvl="4">
      <w:start w:val="1"/>
      <w:numFmt w:val="bullet"/>
      <w:lvlText w:val="o"/>
      <w:lvlJc w:val="left"/>
      <w:pPr>
        <w:ind w:left="3650" w:hanging="360"/>
      </w:pPr>
      <w:rPr>
        <w:rFonts w:ascii="Courier New" w:eastAsia="Courier New" w:hAnsi="Courier New" w:cs="Courier New"/>
      </w:rPr>
    </w:lvl>
    <w:lvl w:ilvl="5">
      <w:start w:val="1"/>
      <w:numFmt w:val="bullet"/>
      <w:lvlText w:val="▪"/>
      <w:lvlJc w:val="left"/>
      <w:pPr>
        <w:ind w:left="4370" w:hanging="360"/>
      </w:pPr>
      <w:rPr>
        <w:rFonts w:ascii="Noto Sans Symbols" w:eastAsia="Noto Sans Symbols" w:hAnsi="Noto Sans Symbols" w:cs="Noto Sans Symbols"/>
      </w:rPr>
    </w:lvl>
    <w:lvl w:ilvl="6">
      <w:start w:val="1"/>
      <w:numFmt w:val="bullet"/>
      <w:lvlText w:val="●"/>
      <w:lvlJc w:val="left"/>
      <w:pPr>
        <w:ind w:left="5090" w:hanging="360"/>
      </w:pPr>
      <w:rPr>
        <w:rFonts w:ascii="Noto Sans Symbols" w:eastAsia="Noto Sans Symbols" w:hAnsi="Noto Sans Symbols" w:cs="Noto Sans Symbols"/>
      </w:rPr>
    </w:lvl>
    <w:lvl w:ilvl="7">
      <w:start w:val="1"/>
      <w:numFmt w:val="bullet"/>
      <w:lvlText w:val="o"/>
      <w:lvlJc w:val="left"/>
      <w:pPr>
        <w:ind w:left="5810" w:hanging="360"/>
      </w:pPr>
      <w:rPr>
        <w:rFonts w:ascii="Courier New" w:eastAsia="Courier New" w:hAnsi="Courier New" w:cs="Courier New"/>
      </w:rPr>
    </w:lvl>
    <w:lvl w:ilvl="8">
      <w:start w:val="1"/>
      <w:numFmt w:val="bullet"/>
      <w:lvlText w:val="▪"/>
      <w:lvlJc w:val="left"/>
      <w:pPr>
        <w:ind w:left="653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02A"/>
    <w:rsid w:val="002E34D9"/>
    <w:rsid w:val="00697DF6"/>
    <w:rsid w:val="00726410"/>
    <w:rsid w:val="00D5202A"/>
    <w:rsid w:val="00E749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D886E4-DF08-41CD-8BB3-17BE2BA5D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Intestazione">
    <w:name w:val="header"/>
    <w:basedOn w:val="Normale"/>
    <w:link w:val="IntestazioneCarattere"/>
    <w:uiPriority w:val="99"/>
    <w:unhideWhenUsed/>
    <w:rsid w:val="00291F4B"/>
    <w:pPr>
      <w:tabs>
        <w:tab w:val="center" w:pos="4819"/>
        <w:tab w:val="right" w:pos="9638"/>
      </w:tabs>
    </w:pPr>
  </w:style>
  <w:style w:type="character" w:customStyle="1" w:styleId="IntestazioneCarattere">
    <w:name w:val="Intestazione Carattere"/>
    <w:basedOn w:val="Carpredefinitoparagrafo"/>
    <w:link w:val="Intestazione"/>
    <w:uiPriority w:val="99"/>
    <w:rsid w:val="00291F4B"/>
  </w:style>
  <w:style w:type="paragraph" w:styleId="Pidipagina">
    <w:name w:val="footer"/>
    <w:basedOn w:val="Normale"/>
    <w:link w:val="PidipaginaCarattere"/>
    <w:uiPriority w:val="99"/>
    <w:unhideWhenUsed/>
    <w:rsid w:val="00291F4B"/>
    <w:pPr>
      <w:tabs>
        <w:tab w:val="center" w:pos="4819"/>
        <w:tab w:val="right" w:pos="9638"/>
      </w:tabs>
    </w:pPr>
  </w:style>
  <w:style w:type="character" w:customStyle="1" w:styleId="PidipaginaCarattere">
    <w:name w:val="Piè di pagina Carattere"/>
    <w:basedOn w:val="Carpredefinitoparagrafo"/>
    <w:link w:val="Pidipagina"/>
    <w:uiPriority w:val="99"/>
    <w:rsid w:val="00291F4B"/>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character" w:styleId="Collegamentoipertestuale">
    <w:name w:val="Hyperlink"/>
    <w:basedOn w:val="Carpredefinitoparagrafo"/>
    <w:uiPriority w:val="99"/>
    <w:unhideWhenUsed/>
    <w:rsid w:val="00953FC3"/>
    <w:rPr>
      <w:color w:val="0000FF"/>
      <w:u w:val="single"/>
    </w:rPr>
  </w:style>
  <w:style w:type="character" w:styleId="Collegamentovisitato">
    <w:name w:val="FollowedHyperlink"/>
    <w:basedOn w:val="Carpredefinitoparagrafo"/>
    <w:uiPriority w:val="99"/>
    <w:semiHidden/>
    <w:unhideWhenUsed/>
    <w:rsid w:val="00E331D6"/>
    <w:rPr>
      <w:color w:val="954F72" w:themeColor="followedHyperlink"/>
      <w:u w:val="single"/>
    </w:rPr>
  </w:style>
  <w:style w:type="paragraph" w:styleId="NormaleWeb">
    <w:name w:val="Normal (Web)"/>
    <w:basedOn w:val="Normale"/>
    <w:uiPriority w:val="99"/>
    <w:unhideWhenUsed/>
    <w:rsid w:val="0072024D"/>
    <w:pPr>
      <w:spacing w:before="100" w:beforeAutospacing="1" w:after="100" w:afterAutospacing="1"/>
    </w:pPr>
    <w:rPr>
      <w:rFonts w:ascii="Times New Roman" w:eastAsia="Times New Roman" w:hAnsi="Times New Roman" w:cs="Times New Roman"/>
    </w:rPr>
  </w:style>
  <w:style w:type="character" w:customStyle="1" w:styleId="apple-tab-span">
    <w:name w:val="apple-tab-span"/>
    <w:basedOn w:val="Carpredefinitoparagrafo"/>
    <w:rsid w:val="0072024D"/>
  </w:style>
  <w:style w:type="paragraph" w:styleId="Paragrafoelenco">
    <w:name w:val="List Paragraph"/>
    <w:basedOn w:val="Normale"/>
    <w:uiPriority w:val="34"/>
    <w:qFormat/>
    <w:rsid w:val="00B80BCE"/>
    <w:pPr>
      <w:ind w:left="720"/>
      <w:contextualSpacing/>
    </w:pPr>
  </w:style>
  <w:style w:type="table" w:customStyle="1" w:styleId="Grigliatabella1">
    <w:name w:val="Griglia tabella1"/>
    <w:basedOn w:val="Tabellanormale"/>
    <w:next w:val="Grigliatabella"/>
    <w:uiPriority w:val="39"/>
    <w:rsid w:val="00426DA7"/>
    <w:rPr>
      <w:rFonts w:asciiTheme="minorHAnsi" w:eastAsiaTheme="minorHAnsi" w:hAnsiTheme="minorHAnsi" w:cstheme="minorBidi"/>
      <w:sz w:val="22"/>
      <w:szCs w:val="22"/>
      <w:lang w:val="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39"/>
    <w:rsid w:val="00426D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25A0F"/>
    <w:pPr>
      <w:autoSpaceDE w:val="0"/>
      <w:autoSpaceDN w:val="0"/>
      <w:adjustRightInd w:val="0"/>
    </w:pPr>
    <w:rPr>
      <w:rFonts w:ascii="Georgia" w:hAnsi="Georgia" w:cs="Georgia"/>
      <w:color w:val="000000"/>
    </w:rPr>
  </w:style>
  <w:style w:type="table" w:customStyle="1" w:styleId="a">
    <w:basedOn w:val="TableNormal0"/>
    <w:rPr>
      <w:sz w:val="22"/>
      <w:szCs w:val="22"/>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477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WvcubVn6yAttS1g15k9O/ClLng==">CgMxLjAyCGguZ2pkZ3hzMglpZC5namRneHMyCWguMzBqMHpsbDgAciExQkFxRXZwRUpmdGRQb3hfVzZjZ1hFTVJXb2pjQkRTS3Y=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602</Words>
  <Characters>3433</Characters>
  <Application>Microsoft Office Word</Application>
  <DocSecurity>0</DocSecurity>
  <Lines>28</Lines>
  <Paragraphs>8</Paragraphs>
  <ScaleCrop>false</ScaleCrop>
  <Company>Universita Degli Studi Di Torino</Company>
  <LinksUpToDate>false</LinksUpToDate>
  <CharactersWithSpaces>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Polo di Medicina Torino</cp:lastModifiedBy>
  <cp:revision>4</cp:revision>
  <dcterms:created xsi:type="dcterms:W3CDTF">2023-11-20T13:41:00Z</dcterms:created>
  <dcterms:modified xsi:type="dcterms:W3CDTF">2024-07-04T15:09:00Z</dcterms:modified>
</cp:coreProperties>
</file>